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州地震局</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州地震局</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color w:val="000000"/>
          <w:kern w:val="0"/>
          <w:sz w:val="28"/>
          <w:szCs w:val="28"/>
          <w:lang w:val="en-US" w:eastAsia="zh-CN"/>
        </w:rPr>
      </w:pPr>
      <w:r>
        <w:rPr>
          <w:rFonts w:hint="eastAsia" w:ascii="仿宋_GB2312" w:hAnsi="仿宋_GB2312" w:cs="仿宋_GB2312"/>
          <w:color w:val="000000"/>
          <w:kern w:val="0"/>
          <w:sz w:val="28"/>
          <w:szCs w:val="28"/>
          <w:lang w:val="en-US" w:eastAsia="zh-CN"/>
        </w:rPr>
        <w:t>九、</w:t>
      </w:r>
      <w:r>
        <w:rPr>
          <w:rFonts w:hint="eastAsia" w:cs="仿宋_GB2312" w:asciiTheme="minorEastAsia" w:hAnsiTheme="minorEastAsia" w:eastAsiaTheme="minorEastAsia"/>
          <w:sz w:val="28"/>
          <w:szCs w:val="28"/>
        </w:rPr>
        <w:t>国有资本经营预算支出决算</w:t>
      </w:r>
      <w:r>
        <w:rPr>
          <w:rFonts w:hint="eastAsia" w:cs="仿宋_GB2312" w:asciiTheme="minorEastAsia" w:hAnsiTheme="minorEastAsia"/>
          <w:sz w:val="28"/>
          <w:szCs w:val="28"/>
          <w:lang w:val="en-US" w:eastAsia="zh-CN"/>
        </w:rPr>
        <w:t>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sz w:val="28"/>
          <w:szCs w:val="28"/>
        </w:rPr>
      </w:pPr>
      <w:r>
        <w:rPr>
          <w:rFonts w:hint="eastAsia" w:ascii="仿宋_GB2312" w:hAnsi="仿宋_GB2312" w:cs="仿宋_GB2312"/>
          <w:color w:val="000000"/>
          <w:kern w:val="0"/>
          <w:sz w:val="28"/>
          <w:szCs w:val="28"/>
          <w:lang w:val="en-US" w:eastAsia="zh-CN"/>
        </w:rPr>
        <w:t>十</w:t>
      </w:r>
      <w:r>
        <w:rPr>
          <w:rFonts w:ascii="仿宋_GB2312" w:hAnsi="仿宋_GB2312" w:cs="仿宋_GB2312"/>
          <w:color w:val="000000"/>
          <w:kern w:val="0"/>
          <w:sz w:val="28"/>
          <w:szCs w:val="28"/>
        </w:rPr>
        <w:t>、</w:t>
      </w:r>
      <w:r>
        <w:rPr>
          <w:rFonts w:hint="eastAsia" w:ascii="仿宋_GB2312" w:hAnsi="仿宋_GB2312" w:cs="仿宋_GB2312" w:eastAsiaTheme="minorEastAsia"/>
          <w:sz w:val="28"/>
          <w:szCs w:val="28"/>
        </w:rPr>
        <w:t>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pStyle w:val="10"/>
        <w:spacing w:line="50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十一</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其他重要事项情况说明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州地震局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(一）管理全州地震工作。贯彻执行国家、省有关防震减灾工作的法律、法规、方针、政策、条例。</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（二）负责组织实施州级防震减灾计划工作。根据州</w:t>
      </w:r>
      <w:r>
        <w:rPr>
          <w:rFonts w:hint="eastAsia" w:ascii="仿宋_GB2312" w:eastAsia="仿宋_GB2312" w:cs="仿宋_GB2312"/>
          <w:sz w:val="32"/>
          <w:szCs w:val="32"/>
          <w:lang w:val="en-US" w:eastAsia="zh-CN"/>
        </w:rPr>
        <w:t>委、州</w:t>
      </w:r>
      <w:r>
        <w:rPr>
          <w:rFonts w:hint="eastAsia" w:ascii="仿宋_GB2312" w:eastAsia="仿宋_GB2312" w:cs="仿宋_GB2312"/>
          <w:sz w:val="32"/>
          <w:szCs w:val="32"/>
        </w:rPr>
        <w:t>人民政府及上级防震减灾部门的部署，编制全州防震减灾工作规划，并组织实施。</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三）负责建立全州地震监测预防工作。按照国家和省地震局建设规划，制定全州监测预报方案并组织实施；负责组织统一规划全州地震监测台网及信息系统的建设，实现资源共享；管理地震监测台网；负责提出地震预报意见；强化震情跟踪；对县市区地震监测、地震预警系统和群测群防工作实行行业管理，会同有关部门依法保护地震监测设施和地震观测环境。</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（四）负责全州震灾预防工作。负责监督、管理建设工程抗震设防和地震安全性评价工作，确定建设工程抗震设防要求；管理本行政区域内地震灾害预测；制定本行政区域破坏性地震应急预案并检查落实情况。</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（五）</w:t>
      </w:r>
      <w:r>
        <w:rPr>
          <w:rFonts w:hint="eastAsia" w:ascii="仿宋_GB2312" w:eastAsia="仿宋_GB2312" w:cs="仿宋_GB2312"/>
          <w:sz w:val="32"/>
          <w:szCs w:val="32"/>
          <w:lang w:eastAsia="zh-CN"/>
        </w:rPr>
        <w:t>组织</w:t>
      </w:r>
      <w:r>
        <w:rPr>
          <w:rFonts w:hint="eastAsia" w:ascii="仿宋_GB2312" w:eastAsia="仿宋_GB2312" w:cs="仿宋_GB2312"/>
          <w:sz w:val="32"/>
          <w:szCs w:val="32"/>
        </w:rPr>
        <w:t>开展防震减灾宣传教育工作，普及防震减灾科学知识，负责地震科技知识培训与交流，提高全民防震减灾素质；按有关规定审核防震减灾宣传报道。</w:t>
      </w:r>
    </w:p>
    <w:p>
      <w:pPr>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rPr>
        <w:t>（六）</w:t>
      </w:r>
      <w:r>
        <w:rPr>
          <w:rFonts w:hint="eastAsia" w:ascii="仿宋_GB2312" w:eastAsia="仿宋_GB2312" w:cs="仿宋_GB2312"/>
          <w:sz w:val="32"/>
          <w:szCs w:val="32"/>
          <w:lang w:val="en-US" w:eastAsia="zh-CN"/>
        </w:rPr>
        <w:t>负责全州地震应急管理工作；</w:t>
      </w:r>
      <w:r>
        <w:rPr>
          <w:rFonts w:hint="eastAsia" w:ascii="仿宋_GB2312" w:eastAsia="仿宋_GB2312" w:cs="仿宋_GB2312"/>
          <w:sz w:val="32"/>
          <w:szCs w:val="32"/>
        </w:rPr>
        <w:t>组织开展地震应急救援知识培训和演练；负责震情速报和灾害速报；负责组织地震灾害调查研究和损失评估；参与制定地震灾区重建规划</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会同有关部门管理地震次生灾害的防灾工作；协助做好地震应急救援工作。</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（七）承担地震行业质量与技术监督管理工作；负责地震技术标准的宣传、贯彻、实施和监督</w:t>
      </w:r>
      <w:r>
        <w:rPr>
          <w:rFonts w:hint="eastAsia" w:ascii="仿宋_GB2312" w:eastAsia="仿宋_GB2312" w:cs="仿宋_GB2312"/>
          <w:sz w:val="32"/>
          <w:szCs w:val="32"/>
          <w:lang w:eastAsia="zh-CN"/>
        </w:rPr>
        <w:t>；</w:t>
      </w:r>
      <w:r>
        <w:rPr>
          <w:rFonts w:hint="eastAsia" w:ascii="仿宋_GB2312" w:eastAsia="仿宋_GB2312" w:cs="仿宋_GB2312"/>
          <w:sz w:val="32"/>
          <w:szCs w:val="32"/>
        </w:rPr>
        <w:t>组织地震科学技术研究及其成果的推广应用。</w:t>
      </w:r>
    </w:p>
    <w:p>
      <w:pPr>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（八）指导县市区防震减灾工作</w:t>
      </w:r>
      <w:r>
        <w:rPr>
          <w:rFonts w:hint="eastAsia" w:ascii="仿宋_GB2312" w:eastAsia="仿宋_GB2312" w:cs="仿宋_GB2312"/>
          <w:sz w:val="32"/>
          <w:szCs w:val="32"/>
          <w:lang w:eastAsia="zh-CN"/>
        </w:rPr>
        <w:t>。</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（九）承担</w:t>
      </w:r>
      <w:r>
        <w:rPr>
          <w:rFonts w:hint="eastAsia" w:ascii="仿宋_GB2312" w:eastAsia="仿宋_GB2312" w:cs="仿宋_GB2312"/>
          <w:color w:val="auto"/>
          <w:sz w:val="32"/>
          <w:szCs w:val="32"/>
          <w:lang w:val="en-US" w:eastAsia="zh-CN"/>
        </w:rPr>
        <w:t>上级部门</w:t>
      </w:r>
      <w:r>
        <w:rPr>
          <w:rFonts w:hint="eastAsia" w:ascii="仿宋_GB2312" w:eastAsia="仿宋_GB2312" w:cs="仿宋_GB2312"/>
          <w:color w:val="auto"/>
          <w:sz w:val="32"/>
          <w:szCs w:val="32"/>
        </w:rPr>
        <w:t>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仿宋_GB2312" w:eastAsia="仿宋_GB2312" w:cs="仿宋_GB2312"/>
          <w:sz w:val="32"/>
          <w:szCs w:val="32"/>
          <w:lang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州地震局</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eastAsia="zh-CN"/>
        </w:rPr>
        <w:t>办公室、</w:t>
      </w:r>
      <w:r>
        <w:rPr>
          <w:rFonts w:hint="eastAsia" w:ascii="仿宋_GB2312" w:eastAsia="仿宋_GB2312" w:cs="仿宋_GB2312"/>
          <w:sz w:val="32"/>
          <w:szCs w:val="32"/>
        </w:rPr>
        <w:t>监测预报科</w:t>
      </w:r>
      <w:r>
        <w:rPr>
          <w:rFonts w:hint="eastAsia" w:ascii="仿宋_GB2312" w:eastAsia="仿宋_GB2312" w:cs="仿宋_GB2312"/>
          <w:sz w:val="32"/>
          <w:szCs w:val="32"/>
          <w:lang w:eastAsia="zh-CN"/>
        </w:rPr>
        <w:t>、</w:t>
      </w:r>
      <w:r>
        <w:rPr>
          <w:rFonts w:hint="eastAsia" w:ascii="仿宋_GB2312" w:eastAsia="仿宋_GB2312" w:cs="仿宋_GB2312"/>
          <w:sz w:val="32"/>
          <w:szCs w:val="32"/>
        </w:rPr>
        <w:t>震害防御</w:t>
      </w:r>
      <w:r>
        <w:rPr>
          <w:rFonts w:hint="eastAsia" w:ascii="仿宋_GB2312" w:eastAsia="仿宋_GB2312" w:cs="仿宋_GB2312"/>
          <w:sz w:val="32"/>
          <w:szCs w:val="32"/>
          <w:lang w:eastAsia="zh-CN"/>
        </w:rPr>
        <w:t>和应急管理</w:t>
      </w:r>
      <w:r>
        <w:rPr>
          <w:rFonts w:hint="eastAsia" w:ascii="仿宋_GB2312" w:eastAsia="仿宋_GB2312" w:cs="仿宋_GB2312"/>
          <w:sz w:val="32"/>
          <w:szCs w:val="32"/>
        </w:rPr>
        <w:t>科</w:t>
      </w:r>
      <w:r>
        <w:rPr>
          <w:rFonts w:hint="eastAsia" w:ascii="仿宋_GB2312" w:eastAsia="仿宋_GB2312" w:cs="仿宋_GB2312"/>
          <w:sz w:val="32"/>
          <w:szCs w:val="32"/>
          <w:lang w:eastAsia="zh-CN"/>
        </w:rPr>
        <w:t>。</w:t>
      </w:r>
    </w:p>
    <w:p>
      <w:pPr>
        <w:widowControl/>
        <w:spacing w:line="600" w:lineRule="exact"/>
        <w:rPr>
          <w:rFonts w:hint="eastAsia"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州地震局</w:t>
      </w:r>
      <w:r>
        <w:rPr>
          <w:rFonts w:asciiTheme="minorEastAsia" w:hAnsiTheme="minorEastAsia"/>
          <w:bCs/>
          <w:kern w:val="0"/>
          <w:sz w:val="32"/>
          <w:szCs w:val="32"/>
        </w:rPr>
        <w:t>20</w:t>
      </w:r>
      <w:r>
        <w:rPr>
          <w:rFonts w:hint="eastAsia" w:asciiTheme="minorEastAsia" w:hAnsiTheme="minorEastAsia"/>
          <w:bCs/>
          <w:kern w:val="0"/>
          <w:sz w:val="32"/>
          <w:szCs w:val="32"/>
        </w:rPr>
        <w:t>20年部门决算公开单位构成包括：</w:t>
      </w:r>
      <w:r>
        <w:rPr>
          <w:rFonts w:hint="eastAsia" w:asciiTheme="minorEastAsia" w:hAnsiTheme="minorEastAsia"/>
          <w:bCs/>
          <w:kern w:val="0"/>
          <w:sz w:val="32"/>
          <w:szCs w:val="32"/>
          <w:lang w:eastAsia="zh-CN"/>
        </w:rPr>
        <w:t>州地震局</w:t>
      </w:r>
      <w:r>
        <w:rPr>
          <w:rFonts w:hint="eastAsia" w:asciiTheme="minorEastAsia" w:hAnsiTheme="minorEastAsia"/>
          <w:bCs/>
          <w:kern w:val="0"/>
          <w:sz w:val="32"/>
          <w:szCs w:val="32"/>
          <w:lang w:val="en-US" w:eastAsia="zh-CN"/>
        </w:rPr>
        <w:t>1户。</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州地震局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268.06</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71.94</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25.56</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lang w:eastAsia="zh-CN"/>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 xml:space="preserve">                         </w:t>
            </w:r>
            <w:r>
              <w:rPr>
                <w:rFonts w:hint="eastAsia" w:ascii="宋体" w:hAnsi="宋体" w:eastAsia="宋体" w:cs="宋体"/>
                <w:kern w:val="0"/>
                <w:sz w:val="22"/>
              </w:rPr>
              <w:t>　</w:t>
            </w:r>
            <w:r>
              <w:rPr>
                <w:rFonts w:hint="eastAsia" w:ascii="宋体" w:hAnsi="宋体" w:eastAsia="宋体" w:cs="宋体"/>
                <w:kern w:val="0"/>
                <w:sz w:val="22"/>
                <w:lang w:val="en-US" w:eastAsia="zh-CN"/>
              </w:rPr>
              <w:t>5.93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 xml:space="preserve">                          10.16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0"/>
                <w:szCs w:val="20"/>
              </w:rPr>
            </w:pPr>
            <w:r>
              <w:rPr>
                <w:rFonts w:hint="eastAsia" w:ascii="宋体" w:hAnsi="宋体" w:eastAsia="宋体" w:cs="宋体"/>
                <w:kern w:val="0"/>
                <w:sz w:val="20"/>
                <w:szCs w:val="20"/>
                <w:lang w:eastAsia="zh-CN"/>
              </w:rPr>
              <w:t>二十二、灾害防治及应急管理支出</w:t>
            </w: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rPr>
              <w:t>　</w:t>
            </w:r>
            <w:r>
              <w:rPr>
                <w:rFonts w:hint="eastAsia" w:ascii="宋体" w:hAnsi="宋体" w:eastAsia="宋体" w:cs="宋体"/>
                <w:b w:val="0"/>
                <w:bCs w:val="0"/>
                <w:kern w:val="0"/>
                <w:sz w:val="22"/>
                <w:lang w:val="en-US" w:eastAsia="zh-CN"/>
              </w:rPr>
              <w:t xml:space="preserve">                       134.53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268.06</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 xml:space="preserve">                      248.12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18.20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 xml:space="preserve">                       38.14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286.26</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ind w:firstLine="2420" w:firstLineChars="1100"/>
              <w:jc w:val="left"/>
              <w:rPr>
                <w:rFonts w:hint="default" w:ascii="宋体" w:hAnsi="宋体" w:eastAsia="宋体" w:cs="宋体"/>
                <w:b/>
                <w:bCs/>
                <w:kern w:val="0"/>
                <w:sz w:val="22"/>
                <w:lang w:val="en-US" w:eastAsia="zh-CN"/>
              </w:rPr>
            </w:pPr>
            <w:r>
              <w:rPr>
                <w:rFonts w:hint="eastAsia" w:ascii="宋体" w:hAnsi="宋体" w:eastAsia="宋体" w:cs="宋体"/>
                <w:b w:val="0"/>
                <w:bCs w:val="0"/>
                <w:kern w:val="0"/>
                <w:sz w:val="22"/>
              </w:rPr>
              <w:t>　</w:t>
            </w:r>
            <w:r>
              <w:rPr>
                <w:rFonts w:hint="eastAsia" w:ascii="宋体" w:hAnsi="宋体" w:eastAsia="宋体" w:cs="宋体"/>
                <w:b w:val="0"/>
                <w:bCs w:val="0"/>
                <w:kern w:val="0"/>
                <w:sz w:val="22"/>
                <w:lang w:val="en-US" w:eastAsia="zh-CN"/>
              </w:rPr>
              <w:t>286.26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3900" w:type="dxa"/>
        <w:tblInd w:w="0" w:type="dxa"/>
        <w:tblLayout w:type="autofit"/>
        <w:tblCellMar>
          <w:top w:w="0" w:type="dxa"/>
          <w:left w:w="0" w:type="dxa"/>
          <w:bottom w:w="0" w:type="dxa"/>
          <w:right w:w="0" w:type="dxa"/>
        </w:tblCellMar>
      </w:tblPr>
      <w:tblGrid>
        <w:gridCol w:w="715"/>
        <w:gridCol w:w="715"/>
        <w:gridCol w:w="3600"/>
        <w:gridCol w:w="1640"/>
        <w:gridCol w:w="1640"/>
        <w:gridCol w:w="1327"/>
        <w:gridCol w:w="1327"/>
        <w:gridCol w:w="1327"/>
        <w:gridCol w:w="1327"/>
        <w:gridCol w:w="1640"/>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color w:val="000000"/>
                <w:sz w:val="20"/>
                <w:szCs w:val="20"/>
                <w:lang w:eastAsia="zh-CN"/>
              </w:rPr>
            </w:pPr>
            <w:r>
              <w:rPr>
                <w:rFonts w:hint="eastAsia"/>
                <w:color w:val="000000"/>
                <w:sz w:val="20"/>
                <w:szCs w:val="20"/>
              </w:rPr>
              <w:t>部门：</w:t>
            </w:r>
            <w:r>
              <w:rPr>
                <w:rFonts w:hint="eastAsia"/>
                <w:color w:val="000000"/>
                <w:sz w:val="20"/>
                <w:szCs w:val="20"/>
                <w:lang w:eastAsia="zh-CN"/>
              </w:rPr>
              <w:t>州地震局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268.06</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268.06</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2060501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机构运行</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71.94</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71.94</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2080502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事业单位离退休</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华文中宋" w:hAnsi="华文中宋" w:eastAsia="华文中宋"/>
                <w:lang w:val="en-US" w:eastAsia="zh-CN"/>
              </w:rPr>
            </w:pPr>
            <w:r>
              <w:rPr>
                <w:rFonts w:hint="eastAsia" w:ascii="华文中宋" w:hAnsi="华文中宋" w:eastAsia="华文中宋"/>
                <w:lang w:val="en-US" w:eastAsia="zh-CN"/>
              </w:rPr>
              <w:t>12.01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12.01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2080505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机关事业单位基本养老保险缴费支出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ascii="华文中宋" w:hAnsi="华文中宋" w:eastAsia="华文中宋"/>
                <w:lang w:val="en-US" w:eastAsia="zh-CN"/>
              </w:rPr>
              <w:t>13.55</w:t>
            </w:r>
            <w:r>
              <w:rPr>
                <w:rFonts w:hint="eastAsia" w:ascii="华文中宋" w:hAnsi="华文中宋" w:eastAsia="华文中宋"/>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13.55</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2101102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5.93</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5.93</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2210201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eastAsia="zh-CN"/>
              </w:rPr>
              <w:t>住房公积金</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10.16</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10.16</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2240199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其他应急管理支出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10.00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10.00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2240501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行政运行</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96.75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96.74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2240504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地震监测</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24.00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24.00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2240599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val="en-US" w:eastAsia="zh-CN"/>
              </w:rPr>
            </w:pPr>
            <w:r>
              <w:rPr>
                <w:rFonts w:hint="eastAsia"/>
              </w:rPr>
              <w:t>　</w:t>
            </w:r>
            <w:r>
              <w:rPr>
                <w:rFonts w:hint="eastAsia"/>
                <w:lang w:eastAsia="zh-CN"/>
              </w:rPr>
              <w:t>其他地震事务支出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23.73</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23.73</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hint="eastAsia"/>
              </w:rPr>
            </w:pP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5521" w:type="dxa"/>
        <w:tblInd w:w="93" w:type="dxa"/>
        <w:tblLayout w:type="fixed"/>
        <w:tblCellMar>
          <w:top w:w="0" w:type="dxa"/>
          <w:left w:w="108" w:type="dxa"/>
          <w:bottom w:w="0" w:type="dxa"/>
          <w:right w:w="108" w:type="dxa"/>
        </w:tblCellMar>
      </w:tblPr>
      <w:tblGrid>
        <w:gridCol w:w="1042"/>
        <w:gridCol w:w="240"/>
        <w:gridCol w:w="1775"/>
        <w:gridCol w:w="538"/>
        <w:gridCol w:w="436"/>
        <w:gridCol w:w="362"/>
        <w:gridCol w:w="716"/>
        <w:gridCol w:w="496"/>
        <w:gridCol w:w="467"/>
        <w:gridCol w:w="1679"/>
        <w:gridCol w:w="769"/>
        <w:gridCol w:w="632"/>
        <w:gridCol w:w="278"/>
        <w:gridCol w:w="157"/>
        <w:gridCol w:w="1522"/>
        <w:gridCol w:w="51"/>
        <w:gridCol w:w="1394"/>
        <w:gridCol w:w="863"/>
        <w:gridCol w:w="531"/>
        <w:gridCol w:w="1573"/>
      </w:tblGrid>
      <w:tr>
        <w:tblPrEx>
          <w:tblCellMar>
            <w:top w:w="0" w:type="dxa"/>
            <w:left w:w="108" w:type="dxa"/>
            <w:bottom w:w="0" w:type="dxa"/>
            <w:right w:w="108" w:type="dxa"/>
          </w:tblCellMar>
        </w:tblPrEx>
        <w:trPr>
          <w:gridAfter w:val="2"/>
          <w:wAfter w:w="2104" w:type="dxa"/>
          <w:trHeight w:val="435" w:hRule="atLeast"/>
        </w:trPr>
        <w:tc>
          <w:tcPr>
            <w:tcW w:w="13417"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gridAfter w:val="2"/>
          <w:wAfter w:w="2104" w:type="dxa"/>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7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2"/>
          <w:wAfter w:w="2104" w:type="dxa"/>
          <w:trHeight w:val="285" w:hRule="atLeast"/>
        </w:trPr>
        <w:tc>
          <w:tcPr>
            <w:tcW w:w="1042"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州</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eastAsia="zh-CN"/>
              </w:rPr>
              <w:t>地</w:t>
            </w:r>
            <w:r>
              <w:rPr>
                <w:rFonts w:hint="eastAsia" w:ascii="宋体" w:hAnsi="宋体" w:eastAsia="宋体" w:cs="宋体"/>
                <w:kern w:val="0"/>
                <w:sz w:val="24"/>
                <w:szCs w:val="24"/>
              </w:rPr>
              <w:t>　</w:t>
            </w:r>
          </w:p>
        </w:tc>
        <w:tc>
          <w:tcPr>
            <w:tcW w:w="1775" w:type="dxa"/>
            <w:tcBorders>
              <w:top w:val="nil"/>
              <w:left w:val="nil"/>
              <w:bottom w:val="nil"/>
              <w:right w:val="nil"/>
            </w:tcBorders>
            <w:shd w:val="clear" w:color="000000" w:fill="FFFFFF"/>
            <w:noWrap/>
            <w:vAlign w:val="center"/>
          </w:tcPr>
          <w:p>
            <w:pPr>
              <w:widowControl/>
              <w:jc w:val="both"/>
              <w:rPr>
                <w:rFonts w:ascii="宋体" w:hAnsi="宋体" w:eastAsia="宋体" w:cs="宋体"/>
                <w:kern w:val="0"/>
                <w:sz w:val="24"/>
                <w:szCs w:val="24"/>
              </w:rPr>
            </w:pPr>
            <w:r>
              <w:rPr>
                <w:rFonts w:hint="eastAsia" w:ascii="宋体" w:hAnsi="宋体" w:eastAsia="宋体" w:cs="宋体"/>
                <w:kern w:val="0"/>
                <w:sz w:val="24"/>
                <w:szCs w:val="24"/>
                <w:lang w:eastAsia="zh-CN"/>
              </w:rPr>
              <w:t>震局</w:t>
            </w:r>
            <w:r>
              <w:rPr>
                <w:rFonts w:hint="eastAsia" w:ascii="宋体" w:hAnsi="宋体" w:eastAsia="宋体" w:cs="宋体"/>
                <w:kern w:val="0"/>
                <w:sz w:val="24"/>
                <w:szCs w:val="24"/>
              </w:rPr>
              <w:t>　</w:t>
            </w:r>
          </w:p>
        </w:tc>
        <w:tc>
          <w:tcPr>
            <w:tcW w:w="133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2"/>
          <w:wAfter w:w="2104" w:type="dxa"/>
          <w:trHeight w:val="450" w:hRule="atLeast"/>
        </w:trPr>
        <w:tc>
          <w:tcPr>
            <w:tcW w:w="305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336"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After w:val="2"/>
          <w:wAfter w:w="2104" w:type="dxa"/>
          <w:trHeight w:val="450" w:hRule="atLeast"/>
        </w:trPr>
        <w:tc>
          <w:tcPr>
            <w:tcW w:w="128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7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3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2"/>
          <w:wAfter w:w="2104" w:type="dxa"/>
          <w:trHeight w:val="450" w:hRule="atLeast"/>
        </w:trPr>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2"/>
          <w:wAfter w:w="2104" w:type="dxa"/>
          <w:trHeight w:val="450" w:hRule="atLeast"/>
        </w:trPr>
        <w:tc>
          <w:tcPr>
            <w:tcW w:w="305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336"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gridAfter w:val="2"/>
          <w:wAfter w:w="2104" w:type="dxa"/>
          <w:trHeight w:val="450" w:hRule="atLeast"/>
        </w:trPr>
        <w:tc>
          <w:tcPr>
            <w:tcW w:w="305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3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248.12</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209.01</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39.11</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2"/>
          <w:wAfter w:w="2104" w:type="dxa"/>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2060501</w:t>
            </w:r>
          </w:p>
        </w:tc>
        <w:tc>
          <w:tcPr>
            <w:tcW w:w="1775"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机构运行</w:t>
            </w:r>
          </w:p>
        </w:tc>
        <w:tc>
          <w:tcPr>
            <w:tcW w:w="133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71.94</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71.94</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2"/>
          <w:wAfter w:w="2104" w:type="dxa"/>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2080502</w:t>
            </w:r>
          </w:p>
        </w:tc>
        <w:tc>
          <w:tcPr>
            <w:tcW w:w="1775"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事业单位离退休</w:t>
            </w:r>
          </w:p>
        </w:tc>
        <w:tc>
          <w:tcPr>
            <w:tcW w:w="133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12.01</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12.01</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2"/>
          <w:wAfter w:w="2104" w:type="dxa"/>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2080505</w:t>
            </w:r>
          </w:p>
        </w:tc>
        <w:tc>
          <w:tcPr>
            <w:tcW w:w="1775"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机关事业单位基本养老保险缴费支出</w:t>
            </w:r>
          </w:p>
        </w:tc>
        <w:tc>
          <w:tcPr>
            <w:tcW w:w="133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13.55</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13.55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2"/>
          <w:wAfter w:w="2104" w:type="dxa"/>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2101102</w:t>
            </w:r>
          </w:p>
        </w:tc>
        <w:tc>
          <w:tcPr>
            <w:tcW w:w="1775"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事业单位医疗</w:t>
            </w:r>
          </w:p>
        </w:tc>
        <w:tc>
          <w:tcPr>
            <w:tcW w:w="133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5.93</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5.93</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2"/>
          <w:wAfter w:w="2104" w:type="dxa"/>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2210201</w:t>
            </w:r>
          </w:p>
        </w:tc>
        <w:tc>
          <w:tcPr>
            <w:tcW w:w="1775"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eastAsia="zh-CN"/>
              </w:rPr>
              <w:t>住房公积金</w:t>
            </w:r>
          </w:p>
        </w:tc>
        <w:tc>
          <w:tcPr>
            <w:tcW w:w="133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10.16</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10.16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2"/>
          <w:wAfter w:w="2104" w:type="dxa"/>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2240501</w:t>
            </w:r>
          </w:p>
        </w:tc>
        <w:tc>
          <w:tcPr>
            <w:tcW w:w="1775"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行政运行</w:t>
            </w:r>
          </w:p>
        </w:tc>
        <w:tc>
          <w:tcPr>
            <w:tcW w:w="133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95.42</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95.42</w:t>
            </w: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2"/>
          <w:wAfter w:w="2104" w:type="dxa"/>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2240504</w:t>
            </w:r>
          </w:p>
        </w:tc>
        <w:tc>
          <w:tcPr>
            <w:tcW w:w="1775"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地震监测</w:t>
            </w:r>
          </w:p>
        </w:tc>
        <w:tc>
          <w:tcPr>
            <w:tcW w:w="133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21.70</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21.70</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2"/>
          <w:wAfter w:w="2104" w:type="dxa"/>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2240599</w:t>
            </w:r>
          </w:p>
        </w:tc>
        <w:tc>
          <w:tcPr>
            <w:tcW w:w="1775"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其他地震事务支出</w:t>
            </w:r>
          </w:p>
        </w:tc>
        <w:tc>
          <w:tcPr>
            <w:tcW w:w="133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17.41</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17.41</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2"/>
          <w:wAfter w:w="2104" w:type="dxa"/>
          <w:trHeight w:val="630" w:hRule="atLeast"/>
        </w:trPr>
        <w:tc>
          <w:tcPr>
            <w:tcW w:w="13417" w:type="dxa"/>
            <w:gridSpan w:val="18"/>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r>
        <w:tblPrEx>
          <w:tblCellMar>
            <w:top w:w="0" w:type="dxa"/>
            <w:left w:w="108" w:type="dxa"/>
            <w:bottom w:w="0" w:type="dxa"/>
            <w:right w:w="108" w:type="dxa"/>
          </w:tblCellMar>
        </w:tblPrEx>
        <w:trPr>
          <w:trHeight w:val="285" w:hRule="atLeast"/>
        </w:trPr>
        <w:tc>
          <w:tcPr>
            <w:tcW w:w="3595" w:type="dxa"/>
            <w:gridSpan w:val="4"/>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3"/>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4"/>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2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268.06</w:t>
            </w: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71.94</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71.94</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八、社会保障和就业支出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25.56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25.56</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九、卫生健康支出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5.93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5.93</w:t>
            </w: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十九、住房保障支出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10.16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10.16</w:t>
            </w: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二十二、灾害防治及应急管理支出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134.53</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134.53</w:t>
            </w: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268.06</w:t>
            </w: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18.20</w:t>
            </w: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38.14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38.14</w:t>
            </w: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18.20</w:t>
            </w: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286.26</w:t>
            </w: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286.26</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286.26</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2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4028"/>
        <w:gridCol w:w="2499"/>
        <w:gridCol w:w="3492"/>
        <w:gridCol w:w="3000"/>
      </w:tblGrid>
      <w:tr>
        <w:tblPrEx>
          <w:tblCellMar>
            <w:top w:w="0" w:type="dxa"/>
            <w:left w:w="108" w:type="dxa"/>
            <w:bottom w:w="0" w:type="dxa"/>
            <w:right w:w="108" w:type="dxa"/>
          </w:tblCellMar>
        </w:tblPrEx>
        <w:trPr>
          <w:trHeight w:val="405" w:hRule="atLeast"/>
          <w:jc w:val="center"/>
        </w:trPr>
        <w:tc>
          <w:tcPr>
            <w:tcW w:w="5228"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91"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40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4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2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49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2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49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28"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49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28"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49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248.12</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209.01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39.11</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2060501</w:t>
            </w:r>
            <w:r>
              <w:rPr>
                <w:rFonts w:ascii="Times New Roman" w:hAnsi="Times New Roman" w:eastAsia="仿宋_GB2312" w:cs="Times New Roman"/>
                <w:kern w:val="0"/>
                <w:szCs w:val="21"/>
              </w:rPr>
              <w:t>　</w:t>
            </w:r>
          </w:p>
        </w:tc>
        <w:tc>
          <w:tcPr>
            <w:tcW w:w="4028"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机构运行</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71.94</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71.94</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2080502</w:t>
            </w:r>
            <w:r>
              <w:rPr>
                <w:rFonts w:ascii="Times New Roman" w:hAnsi="Times New Roman" w:eastAsia="仿宋_GB2312" w:cs="Times New Roman"/>
                <w:kern w:val="0"/>
                <w:szCs w:val="21"/>
              </w:rPr>
              <w:t>　</w:t>
            </w:r>
          </w:p>
        </w:tc>
        <w:tc>
          <w:tcPr>
            <w:tcW w:w="4028"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事业单位离退休</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12.01</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12.01</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2080505</w:t>
            </w:r>
            <w:r>
              <w:rPr>
                <w:rFonts w:ascii="Times New Roman" w:hAnsi="Times New Roman" w:eastAsia="仿宋_GB2312" w:cs="Times New Roman"/>
                <w:kern w:val="0"/>
                <w:szCs w:val="21"/>
              </w:rPr>
              <w:t>　</w:t>
            </w:r>
          </w:p>
        </w:tc>
        <w:tc>
          <w:tcPr>
            <w:tcW w:w="4028"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机关事业单位基本养老保险缴费支出</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13.55</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13.55</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2101102</w:t>
            </w:r>
            <w:r>
              <w:rPr>
                <w:rFonts w:ascii="Times New Roman" w:hAnsi="Times New Roman" w:eastAsia="仿宋_GB2312" w:cs="Times New Roman"/>
                <w:kern w:val="0"/>
                <w:szCs w:val="21"/>
              </w:rPr>
              <w:t>　</w:t>
            </w:r>
          </w:p>
        </w:tc>
        <w:tc>
          <w:tcPr>
            <w:tcW w:w="4028"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住房公积金</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10.16</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10.16</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2240501</w:t>
            </w:r>
          </w:p>
        </w:tc>
        <w:tc>
          <w:tcPr>
            <w:tcW w:w="4028"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行政运行</w:t>
            </w:r>
          </w:p>
        </w:tc>
        <w:tc>
          <w:tcPr>
            <w:tcW w:w="249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95.42</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95.42</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2240504</w:t>
            </w:r>
          </w:p>
        </w:tc>
        <w:tc>
          <w:tcPr>
            <w:tcW w:w="4028"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地震监测</w:t>
            </w:r>
          </w:p>
        </w:tc>
        <w:tc>
          <w:tcPr>
            <w:tcW w:w="2499"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21.70</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21.70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2240599</w:t>
            </w:r>
          </w:p>
        </w:tc>
        <w:tc>
          <w:tcPr>
            <w:tcW w:w="4028"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其他地震事务支出</w:t>
            </w:r>
          </w:p>
        </w:tc>
        <w:tc>
          <w:tcPr>
            <w:tcW w:w="2499"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17.41</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17.41</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fixed"/>
        <w:tblCellMar>
          <w:top w:w="0" w:type="dxa"/>
          <w:left w:w="108" w:type="dxa"/>
          <w:bottom w:w="0" w:type="dxa"/>
          <w:right w:w="108" w:type="dxa"/>
        </w:tblCellMar>
      </w:tblPr>
      <w:tblGrid>
        <w:gridCol w:w="1317"/>
        <w:gridCol w:w="3307"/>
        <w:gridCol w:w="1246"/>
        <w:gridCol w:w="731"/>
        <w:gridCol w:w="2291"/>
        <w:gridCol w:w="942"/>
        <w:gridCol w:w="735"/>
        <w:gridCol w:w="4159"/>
        <w:gridCol w:w="943"/>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州地震局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118.12</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商品和服务支出</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60.26</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46.81</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3.66</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6.88</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11.75</w:t>
            </w: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34.19</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11.74</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12.66</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1.00</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6.78</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0.64</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4.58</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10.16</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0.99</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57.99</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1.27</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0.55</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1.02</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57.99</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2.12</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1.28</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4.01</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94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39.79</w:t>
            </w:r>
          </w:p>
        </w:tc>
        <w:tc>
          <w:tcPr>
            <w:tcW w:w="7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5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176.11</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1111111221111111111010410104.80</w:t>
            </w:r>
          </w:p>
        </w:tc>
        <w:tc>
          <w:tcPr>
            <w:tcW w:w="880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72.01</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州地震局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1.83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1.28</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1.28</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0.55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州地震局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无</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无</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州地震局</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eastAsia="zh-CN"/>
              </w:rPr>
              <w:t>无</w:t>
            </w: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eastAsia="zh-CN"/>
              </w:rPr>
              <w:t>无</w:t>
            </w: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eastAsia="zh-CN"/>
              </w:rPr>
              <w:t>无</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286.26</w:t>
      </w:r>
      <w:r>
        <w:rPr>
          <w:rFonts w:hint="eastAsia" w:asciiTheme="minorEastAsia" w:hAnsiTheme="minorEastAsia" w:eastAsiaTheme="minorEastAsia"/>
          <w:sz w:val="32"/>
          <w:szCs w:val="32"/>
        </w:rPr>
        <w:t>万元。与</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相比，减少</w:t>
      </w:r>
      <w:r>
        <w:rPr>
          <w:rFonts w:hint="eastAsia" w:asciiTheme="minorEastAsia" w:hAnsiTheme="minorEastAsia" w:eastAsiaTheme="minorEastAsia"/>
          <w:sz w:val="32"/>
          <w:szCs w:val="32"/>
          <w:lang w:val="en-US" w:eastAsia="zh-CN"/>
        </w:rPr>
        <w:t>24.27</w:t>
      </w:r>
      <w:r>
        <w:rPr>
          <w:rFonts w:hint="eastAsia" w:asciiTheme="minorEastAsia" w:hAnsiTheme="minorEastAsia" w:eastAsiaTheme="minorEastAsia"/>
          <w:sz w:val="32"/>
          <w:szCs w:val="32"/>
        </w:rPr>
        <w:t>万元，增减少</w:t>
      </w:r>
      <w:r>
        <w:rPr>
          <w:rFonts w:hint="eastAsia" w:asciiTheme="minorEastAsia" w:hAnsiTheme="minorEastAsia" w:eastAsiaTheme="minorEastAsia"/>
          <w:sz w:val="32"/>
          <w:szCs w:val="32"/>
          <w:lang w:val="en-US" w:eastAsia="zh-CN"/>
        </w:rPr>
        <w:t>7.8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人员编制较上一年减少，相应减少了人员支出。</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268.06</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268.06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248.12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209.01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84.24</w:t>
      </w:r>
      <w:r>
        <w:rPr>
          <w:rFonts w:hint="eastAsia" w:asciiTheme="minorEastAsia" w:hAnsiTheme="minorEastAsia" w:eastAsiaTheme="minorEastAsia"/>
          <w:sz w:val="32"/>
          <w:szCs w:val="32"/>
        </w:rPr>
        <w:t>X%；项目支出</w:t>
      </w:r>
      <w:r>
        <w:rPr>
          <w:rFonts w:hint="eastAsia" w:asciiTheme="minorEastAsia" w:hAnsiTheme="minorEastAsia" w:eastAsiaTheme="minorEastAsia"/>
          <w:sz w:val="32"/>
          <w:szCs w:val="32"/>
          <w:lang w:val="en-US" w:eastAsia="zh-CN"/>
        </w:rPr>
        <w:t>39.11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15.76</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2020年度收、支总计</w:t>
      </w:r>
      <w:r>
        <w:rPr>
          <w:rFonts w:hint="eastAsia" w:asciiTheme="minorEastAsia" w:hAnsiTheme="minorEastAsia" w:eastAsiaTheme="minorEastAsia"/>
          <w:sz w:val="32"/>
          <w:szCs w:val="32"/>
          <w:lang w:val="en-US" w:eastAsia="zh-CN"/>
        </w:rPr>
        <w:t>286.26</w:t>
      </w:r>
      <w:r>
        <w:rPr>
          <w:rFonts w:hint="eastAsia" w:asciiTheme="minorEastAsia" w:hAnsiTheme="minorEastAsia" w:eastAsiaTheme="minorEastAsia"/>
          <w:sz w:val="32"/>
          <w:szCs w:val="32"/>
        </w:rPr>
        <w:t>万元。与</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相比，减少</w:t>
      </w:r>
      <w:r>
        <w:rPr>
          <w:rFonts w:hint="eastAsia" w:asciiTheme="minorEastAsia" w:hAnsiTheme="minorEastAsia" w:eastAsiaTheme="minorEastAsia"/>
          <w:sz w:val="32"/>
          <w:szCs w:val="32"/>
          <w:lang w:val="en-US" w:eastAsia="zh-CN"/>
        </w:rPr>
        <w:t>24.27</w:t>
      </w:r>
      <w:r>
        <w:rPr>
          <w:rFonts w:hint="eastAsia" w:asciiTheme="minorEastAsia" w:hAnsiTheme="minorEastAsia" w:eastAsiaTheme="minorEastAsia"/>
          <w:sz w:val="32"/>
          <w:szCs w:val="32"/>
        </w:rPr>
        <w:t>万元，增减少</w:t>
      </w:r>
      <w:r>
        <w:rPr>
          <w:rFonts w:hint="eastAsia" w:asciiTheme="minorEastAsia" w:hAnsiTheme="minorEastAsia" w:eastAsiaTheme="minorEastAsia"/>
          <w:sz w:val="32"/>
          <w:szCs w:val="32"/>
          <w:lang w:val="en-US" w:eastAsia="zh-CN"/>
        </w:rPr>
        <w:t>7.8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人员编制较上一年减少，相应减少了人员支出。</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248.12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相比，财政拨款支出减少</w:t>
      </w:r>
      <w:r>
        <w:rPr>
          <w:rFonts w:hint="eastAsia" w:asciiTheme="minorEastAsia" w:hAnsiTheme="minorEastAsia" w:eastAsiaTheme="minorEastAsia"/>
          <w:sz w:val="32"/>
          <w:szCs w:val="32"/>
          <w:lang w:val="en-US" w:eastAsia="zh-CN"/>
        </w:rPr>
        <w:t>43.21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14.83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人员编制发生减少，导致人员开支下降。</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248.12</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科技技术</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71.94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28.99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25.56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10.30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卫生健康（类）支出</w:t>
      </w:r>
      <w:r>
        <w:rPr>
          <w:rFonts w:hint="eastAsia" w:asciiTheme="minorEastAsia" w:hAnsiTheme="minorEastAsia" w:eastAsiaTheme="minorEastAsia"/>
          <w:sz w:val="32"/>
          <w:szCs w:val="32"/>
          <w:lang w:val="en-US" w:eastAsia="zh-CN"/>
        </w:rPr>
        <w:t>5.93万元</w:t>
      </w:r>
      <w:r>
        <w:rPr>
          <w:rFonts w:hint="eastAsia" w:asciiTheme="minorEastAsia" w:hAnsiTheme="minorEastAsia" w:eastAsiaTheme="minorEastAsia"/>
          <w:sz w:val="32"/>
          <w:szCs w:val="32"/>
          <w:lang w:eastAsia="zh-CN"/>
        </w:rPr>
        <w:t>，占</w:t>
      </w:r>
      <w:r>
        <w:rPr>
          <w:rFonts w:hint="eastAsia" w:asciiTheme="minorEastAsia" w:hAnsiTheme="minorEastAsia" w:eastAsiaTheme="minorEastAsia"/>
          <w:sz w:val="32"/>
          <w:szCs w:val="32"/>
          <w:lang w:val="en-US" w:eastAsia="zh-CN"/>
        </w:rPr>
        <w:t>2.39%，住房保障（类）支出10.16万元，占4.09%，灾害防治及应急管理（类）支出134.53万元，占54.22%。</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172.75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248.12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143.63</w:t>
      </w:r>
      <w:r>
        <w:rPr>
          <w:rFonts w:hint="eastAsia" w:asciiTheme="minorEastAsia" w:hAnsiTheme="minorEastAsia" w:eastAsiaTheme="minorEastAsia"/>
          <w:sz w:val="32"/>
          <w:szCs w:val="32"/>
        </w:rPr>
        <w:t>%，其中：</w:t>
      </w:r>
    </w:p>
    <w:p>
      <w:pPr>
        <w:pStyle w:val="10"/>
        <w:numPr>
          <w:ilvl w:val="0"/>
          <w:numId w:val="2"/>
        </w:numPr>
        <w:ind w:left="40" w:leftChars="0" w:firstLine="800" w:firstLineChars="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科学技术支出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2060501</w:t>
      </w:r>
      <w:r>
        <w:rPr>
          <w:rFonts w:hint="eastAsia" w:asciiTheme="minorEastAsia" w:hAnsiTheme="minorEastAsia" w:eastAsiaTheme="minorEastAsia"/>
          <w:sz w:val="32"/>
          <w:szCs w:val="32"/>
          <w:lang w:eastAsia="zh-CN"/>
        </w:rPr>
        <w:t>：</w:t>
      </w:r>
    </w:p>
    <w:p>
      <w:pPr>
        <w:pStyle w:val="10"/>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71.94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7194</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基本工资部分未调整到机构</w:t>
      </w:r>
      <w:r>
        <w:rPr>
          <w:rFonts w:hint="eastAsia" w:asciiTheme="minorEastAsia" w:hAnsiTheme="minorEastAsia" w:eastAsiaTheme="minorEastAsia"/>
          <w:sz w:val="32"/>
          <w:szCs w:val="32"/>
          <w:lang w:val="en-US" w:eastAsia="zh-CN"/>
        </w:rPr>
        <w:t>改革</w:t>
      </w:r>
      <w:r>
        <w:rPr>
          <w:rFonts w:hint="eastAsia" w:asciiTheme="minorEastAsia" w:hAnsiTheme="minorEastAsia" w:eastAsiaTheme="minorEastAsia"/>
          <w:sz w:val="32"/>
          <w:szCs w:val="32"/>
          <w:lang w:eastAsia="zh-CN"/>
        </w:rPr>
        <w:t>后的款项中。</w:t>
      </w:r>
    </w:p>
    <w:p>
      <w:pPr>
        <w:pStyle w:val="10"/>
        <w:ind w:firstLine="800" w:firstLineChars="25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2080502及2080505：</w:t>
      </w:r>
    </w:p>
    <w:p>
      <w:pPr>
        <w:pStyle w:val="10"/>
        <w:numPr>
          <w:ilvl w:val="0"/>
          <w:numId w:val="0"/>
        </w:numPr>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16.74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25.56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152.69</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年初预算中生育保险、失业保险、残疾人保险、体检等费用并未纳入预算，同时实际缴纳基本医疗的基数高于预算基数。</w:t>
      </w:r>
    </w:p>
    <w:p>
      <w:pPr>
        <w:pStyle w:val="10"/>
        <w:numPr>
          <w:ilvl w:val="0"/>
          <w:numId w:val="0"/>
        </w:numPr>
        <w:ind w:left="840" w:left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3、卫生健康支出（类）2101102：</w:t>
      </w:r>
    </w:p>
    <w:p>
      <w:pPr>
        <w:pStyle w:val="10"/>
        <w:numPr>
          <w:ilvl w:val="0"/>
          <w:numId w:val="0"/>
        </w:numPr>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5.93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5.93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numPr>
          <w:ilvl w:val="0"/>
          <w:numId w:val="0"/>
        </w:numPr>
        <w:ind w:firstLine="960" w:firstLineChars="3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4、住房保障支出（类）2210201：</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10.16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10.16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0"/>
        <w:numPr>
          <w:ilvl w:val="0"/>
          <w:numId w:val="3"/>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灾害防治及应急管理支出（类）2240501、2240504、2240599：</w:t>
      </w:r>
    </w:p>
    <w:p>
      <w:pPr>
        <w:pStyle w:val="10"/>
        <w:numPr>
          <w:ilvl w:val="0"/>
          <w:numId w:val="0"/>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139.92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134.53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96.15</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基本工资部分放在了</w:t>
      </w:r>
      <w:r>
        <w:rPr>
          <w:rFonts w:hint="eastAsia" w:asciiTheme="minorEastAsia" w:hAnsiTheme="minorEastAsia" w:eastAsiaTheme="minorEastAsia"/>
          <w:sz w:val="32"/>
          <w:szCs w:val="32"/>
          <w:lang w:val="en-US" w:eastAsia="zh-CN"/>
        </w:rPr>
        <w:t>2060501中统计。</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209.01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176.11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84.26</w:t>
      </w:r>
      <w:r>
        <w:rPr>
          <w:rFonts w:hint="eastAsia" w:asciiTheme="minorEastAsia" w:hAnsiTheme="minorEastAsia" w:eastAsiaTheme="minorEastAsia"/>
          <w:sz w:val="32"/>
          <w:szCs w:val="32"/>
        </w:rPr>
        <w:t>%,主要包括基本工资、津贴补贴、</w:t>
      </w:r>
      <w:r>
        <w:rPr>
          <w:rFonts w:hint="eastAsia" w:asciiTheme="minorEastAsia" w:hAnsiTheme="minorEastAsia" w:eastAsiaTheme="minorEastAsia"/>
          <w:sz w:val="32"/>
          <w:szCs w:val="32"/>
          <w:lang w:eastAsia="zh-CN"/>
        </w:rPr>
        <w:t>绩效工资、机关事业单位基本养老保险缴费、职工基本医疗保险缴费、其他社会保障缴费</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32.90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15.74</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eastAsia="zh-CN"/>
        </w:rPr>
        <w:t>培训费、公务接待费、工会经费、福利费、公务用车运行维护费、其他交通费、其他商品和服务支出</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45.75</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0.55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27.5</w:t>
      </w:r>
      <w:r>
        <w:rPr>
          <w:rFonts w:hint="eastAsia" w:asciiTheme="minorEastAsia" w:hAnsiTheme="minorEastAsia" w:eastAsiaTheme="minorEastAsia"/>
          <w:sz w:val="32"/>
          <w:szCs w:val="32"/>
        </w:rPr>
        <w:t>%，决算数小于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受疫情影响，部分业务工作未开展，相应的接待费用也减少。</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0.28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103.70</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永顺台勘选和各县市预警台建设工作展开，发生了相应的接待，且上年基数小</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64</w:t>
      </w:r>
      <w:r>
        <w:rPr>
          <w:rFonts w:hint="eastAsia" w:asciiTheme="minorEastAsia" w:hAnsiTheme="minorEastAsia" w:eastAsiaTheme="minorEastAsia"/>
          <w:sz w:val="32"/>
          <w:szCs w:val="32"/>
        </w:rPr>
        <w:t>%，决算数小于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未进行较大公车修理，且出差次数减少未开车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2.07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61.79</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减少了出差的次数，出差也尽量乘坐公共交通方式，且未进行车辆大修</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0.55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30.05</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1.28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69.95</w:t>
      </w:r>
      <w:r>
        <w:rPr>
          <w:rFonts w:hint="eastAsia" w:asciiTheme="minorEastAsia" w:hAnsiTheme="minorEastAsia" w:eastAsiaTheme="minorEastAsia"/>
          <w:sz w:val="32"/>
          <w:szCs w:val="32"/>
        </w:rPr>
        <w:t>%。其中：</w:t>
      </w:r>
    </w:p>
    <w:p>
      <w:pPr>
        <w:pStyle w:val="1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w:t>
      </w:r>
      <w:r>
        <w:rPr>
          <w:rFonts w:hint="eastAsia" w:asciiTheme="minorEastAsia" w:hAnsiTheme="minorEastAsia" w:eastAsiaTheme="minorEastAsia"/>
          <w:sz w:val="32"/>
          <w:szCs w:val="32"/>
          <w:lang w:val="en-US"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0.55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 xml:space="preserve">9 </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39</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区域安全性评价、地震预警台建设、怀化市来我局交流考察</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1.28</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1.28</w:t>
      </w:r>
      <w:r>
        <w:rPr>
          <w:rFonts w:hint="eastAsia" w:asciiTheme="minorEastAsia" w:hAnsiTheme="minorEastAsia"/>
          <w:sz w:val="32"/>
          <w:szCs w:val="32"/>
        </w:rPr>
        <w:t>万元，主要是</w:t>
      </w:r>
      <w:r>
        <w:rPr>
          <w:rFonts w:hint="eastAsia" w:asciiTheme="minorEastAsia" w:hAnsiTheme="minorEastAsia"/>
          <w:sz w:val="32"/>
          <w:szCs w:val="32"/>
          <w:lang w:eastAsia="zh-CN"/>
        </w:rPr>
        <w:t>车辆保养和公车过路费</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eastAsia="zh-CN"/>
        </w:rPr>
        <w:t>本单位无政府性基金收支。</w:t>
      </w:r>
    </w:p>
    <w:p>
      <w:pPr>
        <w:pStyle w:val="10"/>
        <w:numPr>
          <w:ilvl w:val="0"/>
          <w:numId w:val="0"/>
        </w:numPr>
        <w:spacing w:line="500" w:lineRule="exact"/>
        <w:rPr>
          <w:rFonts w:hint="eastAsia" w:hAnsi="黑体" w:cs="黑体"/>
          <w:sz w:val="32"/>
          <w:szCs w:val="32"/>
          <w:lang w:val="en-US" w:eastAsia="zh-CN"/>
        </w:rPr>
      </w:pPr>
      <w:r>
        <w:rPr>
          <w:rFonts w:hint="eastAsia" w:hAnsi="黑体" w:cs="黑体"/>
          <w:sz w:val="32"/>
          <w:szCs w:val="32"/>
          <w:lang w:val="en-US" w:eastAsia="zh-CN"/>
        </w:rPr>
        <w:t>九、</w:t>
      </w:r>
      <w:r>
        <w:rPr>
          <w:rFonts w:hint="eastAsia" w:ascii="黑体" w:hAnsi="黑体" w:eastAsia="黑体" w:cs="黑体"/>
          <w:sz w:val="32"/>
          <w:szCs w:val="32"/>
        </w:rPr>
        <w:t>国有资本经营预算支出决算</w:t>
      </w:r>
      <w:r>
        <w:rPr>
          <w:rFonts w:hint="eastAsia" w:hAnsi="黑体" w:cs="黑体"/>
          <w:sz w:val="32"/>
          <w:szCs w:val="32"/>
          <w:lang w:val="en-US" w:eastAsia="zh-CN"/>
        </w:rPr>
        <w:t>情况</w:t>
      </w:r>
    </w:p>
    <w:p>
      <w:pPr>
        <w:pStyle w:val="10"/>
        <w:ind w:firstLine="640"/>
        <w:rPr>
          <w:rFonts w:hint="eastAsia" w:asciiTheme="minorEastAsia" w:hAnsiTheme="minorEastAsia" w:eastAsiaTheme="minorEastAsia"/>
          <w:i/>
          <w:color w:val="FF0000"/>
          <w:sz w:val="32"/>
          <w:szCs w:val="32"/>
        </w:rPr>
      </w:pPr>
      <w:r>
        <w:rPr>
          <w:rFonts w:hint="eastAsia" w:ascii="宋体 (正文)" w:hAnsi="宋体 (正文)" w:eastAsia="宋体 (正文)" w:cs="宋体 (正文)"/>
          <w:sz w:val="32"/>
          <w:szCs w:val="32"/>
          <w:lang w:val="en-US" w:eastAsia="zh-CN"/>
        </w:rPr>
        <w:t>本单位无国有资本经营收支。</w:t>
      </w:r>
    </w:p>
    <w:p>
      <w:pPr>
        <w:pStyle w:val="10"/>
        <w:rPr>
          <w:rFonts w:hAnsi="黑体"/>
          <w:b/>
          <w:sz w:val="32"/>
          <w:szCs w:val="32"/>
        </w:rPr>
      </w:pPr>
      <w:r>
        <w:rPr>
          <w:rFonts w:hint="eastAsia" w:ascii="黑体" w:hAnsi="黑体" w:eastAsia="黑体" w:cs="黑体"/>
          <w:i/>
          <w:color w:val="000000" w:themeColor="text1"/>
          <w:sz w:val="32"/>
          <w:szCs w:val="32"/>
          <w:lang w:val="en-US" w:eastAsia="zh-CN"/>
          <w14:textFill>
            <w14:solidFill>
              <w14:schemeClr w14:val="tx1"/>
            </w14:solidFill>
          </w14:textFill>
        </w:rPr>
        <w:t>十、</w:t>
      </w:r>
      <w:r>
        <w:rPr>
          <w:rFonts w:hint="eastAsia" w:hAnsi="黑体"/>
          <w:b/>
          <w:sz w:val="32"/>
          <w:szCs w:val="32"/>
        </w:rPr>
        <w:t>关于2020年度预算绩效情况的说明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本部门预算绩效管理开展情况、绩效目标和绩效评价报告等</w:t>
      </w:r>
      <w:r>
        <w:rPr>
          <w:rFonts w:hint="eastAsia" w:asciiTheme="minorEastAsia" w:hAnsiTheme="minorEastAsia" w:eastAsiaTheme="minorEastAsia"/>
          <w:sz w:val="32"/>
          <w:szCs w:val="32"/>
          <w:lang w:eastAsia="zh-CN"/>
        </w:rPr>
        <w:t>均</w:t>
      </w:r>
      <w:r>
        <w:rPr>
          <w:rFonts w:hint="eastAsia" w:asciiTheme="minorEastAsia" w:hAnsiTheme="minorEastAsia" w:eastAsiaTheme="minorEastAsia"/>
          <w:sz w:val="32"/>
          <w:szCs w:val="32"/>
        </w:rPr>
        <w:t>按照财政绩效部门要求已公开</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2020年度预算</w:t>
      </w:r>
      <w:r>
        <w:rPr>
          <w:rFonts w:hint="eastAsia" w:asciiTheme="minorEastAsia" w:hAnsiTheme="minorEastAsia" w:eastAsiaTheme="minorEastAsia"/>
          <w:sz w:val="32"/>
          <w:szCs w:val="32"/>
          <w:lang w:val="en-US" w:eastAsia="zh-CN"/>
        </w:rPr>
        <w:t>整体</w:t>
      </w:r>
      <w:r>
        <w:rPr>
          <w:rFonts w:hint="eastAsia" w:asciiTheme="minorEastAsia" w:hAnsiTheme="minorEastAsia" w:eastAsiaTheme="minorEastAsia"/>
          <w:sz w:val="32"/>
          <w:szCs w:val="32"/>
        </w:rPr>
        <w:t>绩效</w:t>
      </w:r>
      <w:r>
        <w:rPr>
          <w:rFonts w:hint="eastAsia" w:asciiTheme="minorEastAsia" w:hAnsiTheme="minorEastAsia" w:eastAsiaTheme="minorEastAsia"/>
          <w:sz w:val="32"/>
          <w:szCs w:val="32"/>
          <w:lang w:val="en-US" w:eastAsia="zh-CN"/>
        </w:rPr>
        <w:t>由州应急局一级单位统一进行自评</w:t>
      </w:r>
      <w:r>
        <w:rPr>
          <w:rFonts w:hint="eastAsia" w:asciiTheme="minorEastAsia" w:hAnsiTheme="minorEastAsia" w:eastAsiaTheme="minorEastAsia"/>
          <w:sz w:val="32"/>
          <w:szCs w:val="32"/>
          <w:lang w:eastAsia="zh-CN"/>
        </w:rPr>
        <w:t>。</w:t>
      </w:r>
    </w:p>
    <w:p>
      <w:pPr>
        <w:pStyle w:val="10"/>
        <w:rPr>
          <w:rFonts w:hint="default" w:ascii="黑体" w:hAnsi="黑体" w:eastAsia="黑体" w:cs="黑体"/>
          <w:b/>
          <w:bCs/>
          <w:i/>
          <w:color w:val="000000" w:themeColor="text1"/>
          <w:sz w:val="32"/>
          <w:szCs w:val="32"/>
          <w:lang w:val="en-US" w:eastAsia="zh-CN"/>
          <w14:textFill>
            <w14:solidFill>
              <w14:schemeClr w14:val="tx1"/>
            </w14:solidFill>
          </w14:textFill>
        </w:rPr>
      </w:pPr>
      <w:r>
        <w:rPr>
          <w:rFonts w:hint="eastAsia" w:ascii="黑体" w:hAnsi="黑体" w:eastAsia="黑体" w:cs="黑体"/>
          <w:b/>
          <w:bCs/>
          <w:i/>
          <w:color w:val="000000" w:themeColor="text1"/>
          <w:sz w:val="32"/>
          <w:szCs w:val="32"/>
          <w:lang w:val="en-US" w:eastAsia="zh-CN"/>
          <w14:textFill>
            <w14:solidFill>
              <w14:schemeClr w14:val="tx1"/>
            </w14:solidFill>
          </w14:textFill>
        </w:rPr>
        <w:t>十一、</w:t>
      </w:r>
      <w:r>
        <w:rPr>
          <w:rFonts w:hint="eastAsia" w:hAnsi="黑体" w:cs="黑体"/>
          <w:b/>
          <w:bCs/>
          <w:i/>
          <w:color w:val="000000" w:themeColor="text1"/>
          <w:sz w:val="32"/>
          <w:szCs w:val="32"/>
          <w:lang w:val="en-US" w:eastAsia="zh-CN"/>
          <w14:textFill>
            <w14:solidFill>
              <w14:schemeClr w14:val="tx1"/>
            </w14:solidFill>
          </w14:textFill>
        </w:rPr>
        <w:t>其他重要事项情况说明</w:t>
      </w:r>
    </w:p>
    <w:p>
      <w:pPr>
        <w:pStyle w:val="10"/>
        <w:rPr>
          <w:rFonts w:hint="eastAsia" w:hAnsi="黑体" w:eastAsia="黑体"/>
          <w:b/>
          <w:sz w:val="32"/>
          <w:szCs w:val="32"/>
          <w:lang w:eastAsia="zh-CN"/>
        </w:rPr>
      </w:pPr>
      <w:r>
        <w:rPr>
          <w:rFonts w:hint="eastAsia" w:hAnsi="黑体"/>
          <w:b/>
          <w:sz w:val="32"/>
          <w:szCs w:val="32"/>
          <w:lang w:val="en-US" w:eastAsia="zh-CN"/>
        </w:rPr>
        <w:t xml:space="preserve">    （一）</w:t>
      </w:r>
      <w:r>
        <w:rPr>
          <w:rFonts w:hint="eastAsia" w:hAnsi="黑体"/>
          <w:b/>
          <w:sz w:val="32"/>
          <w:szCs w:val="32"/>
        </w:rPr>
        <w:t>关于机关运行经费支出</w:t>
      </w:r>
      <w:r>
        <w:rPr>
          <w:rFonts w:hint="eastAsia" w:hAnsi="黑体"/>
          <w:b/>
          <w:sz w:val="32"/>
          <w:szCs w:val="32"/>
          <w:lang w:val="en-US" w:eastAsia="zh-CN"/>
        </w:rPr>
        <w:t>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本单位为全额事业单位，无机关运行经费的支出。</w:t>
      </w:r>
    </w:p>
    <w:p>
      <w:pPr>
        <w:pStyle w:val="10"/>
        <w:ind w:firstLine="640" w:firstLineChars="20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1.27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部分</w:t>
      </w:r>
      <w:r>
        <w:rPr>
          <w:rFonts w:hint="eastAsia" w:asciiTheme="minorEastAsia" w:hAnsiTheme="minorEastAsia" w:eastAsiaTheme="minorEastAsia"/>
          <w:sz w:val="32"/>
          <w:szCs w:val="32"/>
        </w:rPr>
        <w:t>用于开展</w:t>
      </w:r>
      <w:r>
        <w:rPr>
          <w:rFonts w:hint="eastAsia" w:asciiTheme="minorEastAsia" w:hAnsiTheme="minorEastAsia" w:eastAsiaTheme="minorEastAsia"/>
          <w:sz w:val="32"/>
          <w:szCs w:val="32"/>
          <w:lang w:eastAsia="zh-CN"/>
        </w:rPr>
        <w:t>农村民居建设抗震设防技术</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val="en-US" w:eastAsia="zh-CN"/>
        </w:rPr>
        <w:t>3场次，</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142</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开展湖南省防震减灾科普知识竞赛选拔赛</w:t>
      </w:r>
      <w:r>
        <w:rPr>
          <w:rFonts w:hint="eastAsia" w:asciiTheme="minorEastAsia" w:hAnsiTheme="minorEastAsia" w:eastAsiaTheme="minorEastAsia"/>
          <w:sz w:val="32"/>
          <w:szCs w:val="32"/>
          <w:lang w:val="en-US" w:eastAsia="zh-CN"/>
        </w:rPr>
        <w:t>1次</w:t>
      </w:r>
      <w:r>
        <w:rPr>
          <w:rFonts w:hint="eastAsia" w:asciiTheme="minorEastAsia" w:hAnsiTheme="minorEastAsia" w:eastAsiaTheme="minorEastAsia"/>
          <w:sz w:val="32"/>
          <w:szCs w:val="32"/>
          <w:lang w:eastAsia="zh-CN"/>
        </w:rPr>
        <w:t>。</w:t>
      </w:r>
    </w:p>
    <w:p>
      <w:pPr>
        <w:pStyle w:val="10"/>
        <w:rPr>
          <w:rFonts w:hint="eastAsia" w:hAnsi="黑体" w:eastAsia="黑体"/>
          <w:b/>
          <w:sz w:val="32"/>
          <w:szCs w:val="32"/>
          <w:lang w:eastAsia="zh-CN"/>
        </w:rPr>
      </w:pPr>
      <w:r>
        <w:rPr>
          <w:rFonts w:hint="eastAsia" w:hAnsi="黑体"/>
          <w:b/>
          <w:sz w:val="32"/>
          <w:szCs w:val="32"/>
          <w:lang w:val="en-US" w:eastAsia="zh-CN"/>
        </w:rPr>
        <w:t xml:space="preserve">   （三）</w:t>
      </w:r>
      <w:r>
        <w:rPr>
          <w:rFonts w:hint="eastAsia" w:hAnsi="黑体"/>
          <w:b/>
          <w:sz w:val="32"/>
          <w:szCs w:val="32"/>
        </w:rPr>
        <w:t>政府采购支出</w:t>
      </w:r>
      <w:r>
        <w:rPr>
          <w:rFonts w:hint="eastAsia" w:hAnsi="黑体"/>
          <w:b/>
          <w:sz w:val="32"/>
          <w:szCs w:val="32"/>
          <w:lang w:val="en-US" w:eastAsia="zh-CN"/>
        </w:rPr>
        <w:t>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11.74</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11.74</w:t>
      </w:r>
      <w:r>
        <w:rPr>
          <w:rFonts w:hint="eastAsia" w:asciiTheme="minorEastAsia" w:hAnsiTheme="minorEastAsia" w:eastAsiaTheme="minorEastAsia"/>
          <w:sz w:val="32"/>
          <w:szCs w:val="32"/>
        </w:rPr>
        <w:t xml:space="preserve"> 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11.74</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，为台网中心电子屏项目建设。</w:t>
      </w:r>
    </w:p>
    <w:p>
      <w:pPr>
        <w:pStyle w:val="10"/>
        <w:ind w:firstLine="320" w:firstLineChars="100"/>
        <w:rPr>
          <w:rFonts w:hAnsi="黑体"/>
          <w:b/>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lang w:eastAsia="zh-CN"/>
        </w:rPr>
        <w:t>）</w:t>
      </w:r>
      <w:r>
        <w:rPr>
          <w:rFonts w:hint="eastAsia" w:hAnsi="黑体"/>
          <w:b/>
          <w:sz w:val="32"/>
          <w:szCs w:val="32"/>
        </w:rPr>
        <w:t>国有资产占用情况</w:t>
      </w:r>
    </w:p>
    <w:p>
      <w:pPr>
        <w:pStyle w:val="10"/>
        <w:ind w:firstLine="640" w:firstLineChars="200"/>
        <w:rPr>
          <w:sz w:val="72"/>
          <w:szCs w:val="7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辆，其中，应急保障用车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ind w:firstLine="1400" w:firstLineChars="200"/>
        <w:jc w:val="both"/>
        <w:rPr>
          <w:rFonts w:hint="eastAsia" w:ascii="黑体" w:eastAsia="黑体" w:cs="黑体"/>
          <w:color w:val="000000"/>
          <w:kern w:val="0"/>
          <w:sz w:val="70"/>
          <w:szCs w:val="70"/>
        </w:rPr>
      </w:pPr>
    </w:p>
    <w:p>
      <w:pPr>
        <w:keepNext w:val="0"/>
        <w:keepLines w:val="0"/>
        <w:pageBreakBefore w:val="0"/>
        <w:widowControl/>
        <w:kinsoku/>
        <w:wordWrap/>
        <w:overflowPunct/>
        <w:topLinePunct w:val="0"/>
        <w:autoSpaceDE/>
        <w:bidi w:val="0"/>
        <w:adjustRightInd/>
        <w:snapToGrid/>
        <w:spacing w:line="540" w:lineRule="exact"/>
        <w:ind w:firstLine="640" w:firstLineChars="200"/>
        <w:jc w:val="both"/>
        <w:textAlignment w:val="auto"/>
        <w:rPr>
          <w:rFonts w:hint="eastAsia" w:ascii="仿宋_GB2312" w:hAnsi="仿宋_GB2312" w:eastAsia="仿宋_GB2312" w:cs="仿宋_GB2312"/>
          <w:color w:val="232323"/>
          <w:kern w:val="0"/>
          <w:sz w:val="32"/>
          <w:szCs w:val="32"/>
          <w:highlight w:val="none"/>
        </w:rPr>
      </w:pPr>
      <w:r>
        <w:rPr>
          <w:rFonts w:hint="eastAsia" w:ascii="仿宋_GB2312" w:hAnsi="仿宋_GB2312" w:eastAsia="仿宋_GB2312" w:cs="仿宋_GB2312"/>
          <w:b/>
          <w:bCs/>
          <w:color w:val="232323"/>
          <w:kern w:val="0"/>
          <w:sz w:val="32"/>
          <w:szCs w:val="32"/>
          <w:highlight w:val="none"/>
          <w:lang w:eastAsia="zh-CN"/>
        </w:rPr>
        <w:t>一、</w:t>
      </w:r>
      <w:r>
        <w:rPr>
          <w:rFonts w:hint="eastAsia" w:ascii="仿宋_GB2312" w:hAnsi="仿宋_GB2312" w:eastAsia="仿宋_GB2312" w:cs="仿宋_GB2312"/>
          <w:b/>
          <w:bCs/>
          <w:color w:val="232323"/>
          <w:kern w:val="0"/>
          <w:sz w:val="32"/>
          <w:szCs w:val="32"/>
          <w:highlight w:val="none"/>
        </w:rPr>
        <w:t>政拨款收入：</w:t>
      </w:r>
      <w:r>
        <w:rPr>
          <w:rFonts w:hint="eastAsia" w:ascii="仿宋_GB2312" w:hAnsi="仿宋_GB2312" w:eastAsia="仿宋_GB2312" w:cs="仿宋_GB2312"/>
          <w:color w:val="232323"/>
          <w:kern w:val="0"/>
          <w:sz w:val="32"/>
          <w:szCs w:val="32"/>
          <w:highlight w:val="none"/>
        </w:rPr>
        <w:t>指财政当年拨付的资金事业收入。</w:t>
      </w:r>
    </w:p>
    <w:p>
      <w:pPr>
        <w:keepNext w:val="0"/>
        <w:keepLines w:val="0"/>
        <w:pageBreakBefore w:val="0"/>
        <w:widowControl/>
        <w:kinsoku/>
        <w:wordWrap/>
        <w:overflowPunct/>
        <w:topLinePunct w:val="0"/>
        <w:autoSpaceDE/>
        <w:bidi w:val="0"/>
        <w:adjustRightInd/>
        <w:snapToGrid/>
        <w:spacing w:line="540" w:lineRule="exact"/>
        <w:ind w:firstLine="640" w:firstLineChars="200"/>
        <w:jc w:val="both"/>
        <w:textAlignment w:val="auto"/>
        <w:rPr>
          <w:rFonts w:hint="eastAsia" w:ascii="仿宋_GB2312" w:hAnsi="仿宋_GB2312" w:eastAsia="仿宋_GB2312" w:cs="仿宋_GB2312"/>
          <w:color w:val="232323"/>
          <w:kern w:val="0"/>
          <w:sz w:val="32"/>
          <w:szCs w:val="32"/>
          <w:highlight w:val="none"/>
        </w:rPr>
      </w:pPr>
      <w:r>
        <w:rPr>
          <w:rFonts w:hint="eastAsia" w:ascii="仿宋_GB2312" w:hAnsi="仿宋_GB2312" w:eastAsia="仿宋_GB2312" w:cs="仿宋_GB2312"/>
          <w:b/>
          <w:bCs/>
          <w:color w:val="232323"/>
          <w:kern w:val="0"/>
          <w:sz w:val="32"/>
          <w:szCs w:val="32"/>
          <w:highlight w:val="none"/>
          <w:lang w:eastAsia="zh-CN"/>
        </w:rPr>
        <w:t>二、</w:t>
      </w:r>
      <w:r>
        <w:rPr>
          <w:rFonts w:hint="eastAsia" w:ascii="仿宋_GB2312" w:hAnsi="仿宋_GB2312" w:eastAsia="仿宋_GB2312" w:cs="仿宋_GB2312"/>
          <w:b/>
          <w:bCs/>
          <w:color w:val="232323"/>
          <w:kern w:val="0"/>
          <w:sz w:val="32"/>
          <w:szCs w:val="32"/>
          <w:highlight w:val="none"/>
        </w:rPr>
        <w:t>年初结转和结余：</w:t>
      </w:r>
      <w:r>
        <w:rPr>
          <w:rFonts w:hint="eastAsia" w:ascii="仿宋_GB2312" w:hAnsi="仿宋_GB2312" w:eastAsia="仿宋_GB2312" w:cs="仿宋_GB2312"/>
          <w:color w:val="232323"/>
          <w:kern w:val="0"/>
          <w:sz w:val="32"/>
          <w:szCs w:val="32"/>
          <w:highlight w:val="none"/>
        </w:rPr>
        <w:t>指以前年度尚未完成、结转到本年按有关规定继续使用的资金。</w:t>
      </w:r>
    </w:p>
    <w:p>
      <w:pPr>
        <w:keepNext w:val="0"/>
        <w:keepLines w:val="0"/>
        <w:pageBreakBefore w:val="0"/>
        <w:widowControl/>
        <w:kinsoku/>
        <w:wordWrap/>
        <w:overflowPunct/>
        <w:topLinePunct w:val="0"/>
        <w:autoSpaceDE/>
        <w:bidi w:val="0"/>
        <w:adjustRightInd/>
        <w:snapToGrid/>
        <w:spacing w:line="540" w:lineRule="exact"/>
        <w:ind w:firstLine="640" w:firstLineChars="200"/>
        <w:jc w:val="both"/>
        <w:textAlignment w:val="auto"/>
        <w:rPr>
          <w:rFonts w:hint="eastAsia" w:ascii="仿宋_GB2312" w:hAnsi="仿宋_GB2312" w:eastAsia="仿宋_GB2312" w:cs="仿宋_GB2312"/>
          <w:color w:val="232323"/>
          <w:kern w:val="0"/>
          <w:sz w:val="32"/>
          <w:szCs w:val="32"/>
          <w:highlight w:val="none"/>
        </w:rPr>
      </w:pPr>
      <w:r>
        <w:rPr>
          <w:rFonts w:hint="eastAsia" w:ascii="仿宋_GB2312" w:hAnsi="仿宋_GB2312" w:eastAsia="仿宋_GB2312" w:cs="仿宋_GB2312"/>
          <w:b/>
          <w:bCs/>
          <w:color w:val="232323"/>
          <w:kern w:val="0"/>
          <w:sz w:val="32"/>
          <w:szCs w:val="32"/>
          <w:highlight w:val="none"/>
          <w:lang w:eastAsia="zh-CN"/>
        </w:rPr>
        <w:t>三、</w:t>
      </w:r>
      <w:r>
        <w:rPr>
          <w:rFonts w:hint="eastAsia" w:ascii="仿宋_GB2312" w:hAnsi="仿宋_GB2312" w:eastAsia="仿宋_GB2312" w:cs="仿宋_GB2312"/>
          <w:b/>
          <w:bCs/>
          <w:color w:val="232323"/>
          <w:kern w:val="0"/>
          <w:sz w:val="32"/>
          <w:szCs w:val="32"/>
          <w:highlight w:val="none"/>
        </w:rPr>
        <w:t>年末结转和结余：</w:t>
      </w:r>
      <w:r>
        <w:rPr>
          <w:rFonts w:hint="eastAsia" w:ascii="仿宋_GB2312" w:hAnsi="仿宋_GB2312" w:eastAsia="仿宋_GB2312" w:cs="仿宋_GB2312"/>
          <w:color w:val="232323"/>
          <w:kern w:val="0"/>
          <w:sz w:val="32"/>
          <w:szCs w:val="32"/>
          <w:highlight w:val="none"/>
        </w:rPr>
        <w:t>指本年度或以前年度预算安排、因客观条件发生变化无法按原计划实施，需要延迟到以后年度按有关规定继续使用的资金。</w:t>
      </w:r>
    </w:p>
    <w:p>
      <w:pPr>
        <w:keepNext w:val="0"/>
        <w:keepLines w:val="0"/>
        <w:pageBreakBefore w:val="0"/>
        <w:widowControl/>
        <w:kinsoku/>
        <w:wordWrap/>
        <w:overflowPunct/>
        <w:topLinePunct w:val="0"/>
        <w:autoSpaceDE/>
        <w:bidi w:val="0"/>
        <w:adjustRightInd/>
        <w:snapToGrid/>
        <w:spacing w:line="540" w:lineRule="exact"/>
        <w:ind w:firstLine="640" w:firstLineChars="200"/>
        <w:jc w:val="both"/>
        <w:textAlignment w:val="auto"/>
        <w:rPr>
          <w:rFonts w:hint="eastAsia" w:ascii="仿宋_GB2312" w:hAnsi="仿宋_GB2312" w:eastAsia="仿宋_GB2312" w:cs="仿宋_GB2312"/>
          <w:color w:val="232323"/>
          <w:kern w:val="0"/>
          <w:sz w:val="32"/>
          <w:szCs w:val="32"/>
          <w:highlight w:val="none"/>
        </w:rPr>
      </w:pPr>
      <w:r>
        <w:rPr>
          <w:rFonts w:hint="eastAsia" w:ascii="仿宋_GB2312" w:hAnsi="仿宋_GB2312" w:eastAsia="仿宋_GB2312" w:cs="仿宋_GB2312"/>
          <w:b/>
          <w:bCs/>
          <w:color w:val="232323"/>
          <w:kern w:val="0"/>
          <w:sz w:val="32"/>
          <w:szCs w:val="32"/>
          <w:highlight w:val="none"/>
          <w:lang w:eastAsia="zh-CN"/>
        </w:rPr>
        <w:t>四、</w:t>
      </w:r>
      <w:r>
        <w:rPr>
          <w:rFonts w:hint="eastAsia" w:ascii="仿宋_GB2312" w:hAnsi="仿宋_GB2312" w:eastAsia="仿宋_GB2312" w:cs="仿宋_GB2312"/>
          <w:b/>
          <w:bCs/>
          <w:color w:val="232323"/>
          <w:kern w:val="0"/>
          <w:sz w:val="32"/>
          <w:szCs w:val="32"/>
          <w:highlight w:val="none"/>
        </w:rPr>
        <w:t>基本支出：</w:t>
      </w:r>
      <w:r>
        <w:rPr>
          <w:rFonts w:hint="eastAsia" w:ascii="仿宋_GB2312" w:hAnsi="仿宋_GB2312" w:eastAsia="仿宋_GB2312" w:cs="仿宋_GB2312"/>
          <w:color w:val="232323"/>
          <w:kern w:val="0"/>
          <w:sz w:val="32"/>
          <w:szCs w:val="32"/>
          <w:highlight w:val="none"/>
        </w:rPr>
        <w:t>指为保障机构正常运转、完成日常工作任务面发生的人员支出和公用支出。</w:t>
      </w:r>
    </w:p>
    <w:p>
      <w:pPr>
        <w:keepNext w:val="0"/>
        <w:keepLines w:val="0"/>
        <w:pageBreakBefore w:val="0"/>
        <w:widowControl/>
        <w:kinsoku/>
        <w:wordWrap/>
        <w:overflowPunct/>
        <w:topLinePunct w:val="0"/>
        <w:autoSpaceDE/>
        <w:bidi w:val="0"/>
        <w:adjustRightInd/>
        <w:snapToGrid/>
        <w:spacing w:line="540" w:lineRule="exact"/>
        <w:ind w:firstLine="640" w:firstLineChars="200"/>
        <w:jc w:val="both"/>
        <w:textAlignment w:val="auto"/>
        <w:rPr>
          <w:rFonts w:hint="eastAsia" w:ascii="仿宋_GB2312" w:hAnsi="仿宋_GB2312" w:eastAsia="仿宋_GB2312" w:cs="仿宋_GB2312"/>
          <w:color w:val="232323"/>
          <w:kern w:val="0"/>
          <w:sz w:val="32"/>
          <w:szCs w:val="32"/>
          <w:highlight w:val="none"/>
        </w:rPr>
      </w:pPr>
      <w:r>
        <w:rPr>
          <w:rFonts w:hint="eastAsia" w:ascii="仿宋_GB2312" w:hAnsi="仿宋_GB2312" w:eastAsia="仿宋_GB2312" w:cs="仿宋_GB2312"/>
          <w:b/>
          <w:bCs/>
          <w:color w:val="232323"/>
          <w:kern w:val="0"/>
          <w:sz w:val="32"/>
          <w:szCs w:val="32"/>
          <w:highlight w:val="none"/>
          <w:lang w:eastAsia="zh-CN"/>
        </w:rPr>
        <w:t>五、</w:t>
      </w:r>
      <w:r>
        <w:rPr>
          <w:rFonts w:hint="eastAsia" w:ascii="仿宋_GB2312" w:hAnsi="仿宋_GB2312" w:eastAsia="仿宋_GB2312" w:cs="仿宋_GB2312"/>
          <w:b/>
          <w:bCs/>
          <w:color w:val="232323"/>
          <w:kern w:val="0"/>
          <w:sz w:val="32"/>
          <w:szCs w:val="32"/>
          <w:highlight w:val="none"/>
        </w:rPr>
        <w:t>项目支出：</w:t>
      </w:r>
      <w:r>
        <w:rPr>
          <w:rFonts w:hint="eastAsia" w:ascii="仿宋_GB2312" w:hAnsi="仿宋_GB2312" w:eastAsia="仿宋_GB2312" w:cs="仿宋_GB2312"/>
          <w:color w:val="232323"/>
          <w:kern w:val="0"/>
          <w:sz w:val="32"/>
          <w:szCs w:val="32"/>
          <w:highlight w:val="none"/>
        </w:rPr>
        <w:t>指在基本支出这外为完成特定行政任务和事业发展目标所发生的支出。</w:t>
      </w:r>
    </w:p>
    <w:p>
      <w:pPr>
        <w:keepNext w:val="0"/>
        <w:keepLines w:val="0"/>
        <w:pageBreakBefore w:val="0"/>
        <w:widowControl/>
        <w:kinsoku/>
        <w:wordWrap/>
        <w:overflowPunct/>
        <w:topLinePunct w:val="0"/>
        <w:autoSpaceDE/>
        <w:bidi w:val="0"/>
        <w:adjustRightInd/>
        <w:snapToGrid/>
        <w:spacing w:line="540" w:lineRule="exact"/>
        <w:ind w:firstLine="640" w:firstLineChars="200"/>
        <w:jc w:val="both"/>
        <w:textAlignment w:val="auto"/>
        <w:rPr>
          <w:rFonts w:hint="eastAsia" w:ascii="仿宋_GB2312" w:hAnsi="仿宋_GB2312" w:eastAsia="仿宋_GB2312" w:cs="仿宋_GB2312"/>
          <w:color w:val="232323"/>
          <w:kern w:val="0"/>
          <w:sz w:val="32"/>
          <w:szCs w:val="32"/>
        </w:rPr>
      </w:pPr>
      <w:r>
        <w:rPr>
          <w:rFonts w:hint="eastAsia" w:ascii="仿宋_GB2312" w:hAnsi="仿宋_GB2312" w:eastAsia="仿宋_GB2312" w:cs="仿宋_GB2312"/>
          <w:b/>
          <w:bCs/>
          <w:color w:val="232323"/>
          <w:kern w:val="0"/>
          <w:sz w:val="32"/>
          <w:szCs w:val="32"/>
          <w:highlight w:val="none"/>
          <w:lang w:eastAsia="zh-CN"/>
        </w:rPr>
        <w:t>六、</w:t>
      </w:r>
      <w:r>
        <w:rPr>
          <w:rFonts w:hint="eastAsia" w:ascii="仿宋_GB2312" w:hAnsi="仿宋_GB2312" w:eastAsia="仿宋_GB2312" w:cs="仿宋_GB2312"/>
          <w:b/>
          <w:bCs/>
          <w:color w:val="232323"/>
          <w:kern w:val="0"/>
          <w:sz w:val="32"/>
          <w:szCs w:val="32"/>
          <w:highlight w:val="none"/>
        </w:rPr>
        <w:t>“三公”经费：</w:t>
      </w:r>
      <w:r>
        <w:rPr>
          <w:rFonts w:hint="eastAsia" w:ascii="仿宋_GB2312" w:hAnsi="仿宋_GB2312" w:eastAsia="仿宋_GB2312" w:cs="仿宋_GB2312"/>
          <w:color w:val="232323"/>
          <w:kern w:val="0"/>
          <w:sz w:val="32"/>
          <w:szCs w:val="32"/>
          <w:highlight w:val="none"/>
        </w:rPr>
        <w:t>按照党中央、国务院有关文件及部门预算管理有关规定，“三公”经费包括因公出国（境）费、公务用车购置及运行费和公务接待费。（1）</w:t>
      </w:r>
      <w:r>
        <w:rPr>
          <w:rFonts w:hint="eastAsia" w:ascii="仿宋_GB2312" w:hAnsi="仿宋_GB2312" w:eastAsia="仿宋_GB2312" w:cs="仿宋_GB2312"/>
          <w:sz w:val="32"/>
          <w:szCs w:val="32"/>
          <w:highlight w:val="none"/>
        </w:rPr>
        <w:t>因公出国（境）费 反映单位公务出国（境）的国际旅费、国外城市间交通费、住 宿费、伙食费、培训费、公杂费等支出。</w:t>
      </w:r>
      <w:r>
        <w:rPr>
          <w:rFonts w:hint="eastAsia" w:ascii="仿宋_GB2312" w:hAnsi="仿宋_GB2312" w:eastAsia="仿宋_GB2312" w:cs="仿宋_GB2312"/>
          <w:color w:val="232323"/>
          <w:kern w:val="0"/>
          <w:sz w:val="32"/>
          <w:szCs w:val="32"/>
          <w:highlight w:val="none"/>
        </w:rPr>
        <w:t>（2）公务用车购置及运行费，指单位公务用车购置费及租用费、燃料费、维修费、</w:t>
      </w:r>
      <w:r>
        <w:rPr>
          <w:rFonts w:hint="eastAsia" w:ascii="仿宋_GB2312" w:hAnsi="仿宋_GB2312" w:eastAsia="仿宋_GB2312" w:cs="仿宋_GB2312"/>
          <w:color w:val="232323"/>
          <w:kern w:val="0"/>
          <w:sz w:val="32"/>
          <w:szCs w:val="32"/>
        </w:rPr>
        <w:t>过路过桥费、保险费、安全奖励费用等支出。公务用车指用于履行公务的机动车辆，包括领导干部专车、一般公务用车和执法执勤用车。（3）公务接待费，指单位按规定开支的各类公务接待（含外宾接待）支出。</w:t>
      </w:r>
    </w:p>
    <w:p>
      <w:pPr>
        <w:ind w:firstLine="640" w:firstLineChars="200"/>
        <w:jc w:val="left"/>
        <w:rPr>
          <w:sz w:val="72"/>
          <w:szCs w:val="72"/>
        </w:rPr>
      </w:pPr>
      <w:r>
        <w:rPr>
          <w:rFonts w:hint="eastAsia" w:ascii="仿宋_GB2312" w:hAnsi="仿宋_GB2312" w:eastAsia="仿宋_GB2312" w:cs="仿宋_GB2312"/>
          <w:b/>
          <w:bCs/>
          <w:color w:val="232323"/>
          <w:kern w:val="0"/>
          <w:sz w:val="32"/>
          <w:szCs w:val="32"/>
          <w:lang w:eastAsia="zh-CN"/>
        </w:rPr>
        <w:t>七、</w:t>
      </w:r>
      <w:r>
        <w:rPr>
          <w:rFonts w:hint="eastAsia" w:ascii="仿宋_GB2312" w:hAnsi="仿宋_GB2312" w:eastAsia="仿宋_GB2312" w:cs="仿宋_GB2312"/>
          <w:b/>
          <w:bCs/>
          <w:color w:val="232323"/>
          <w:kern w:val="0"/>
          <w:sz w:val="32"/>
          <w:szCs w:val="32"/>
        </w:rPr>
        <w:t>机关运行经费：</w:t>
      </w:r>
      <w:r>
        <w:rPr>
          <w:rFonts w:hint="eastAsia" w:ascii="仿宋_GB2312" w:hAnsi="仿宋_GB2312" w:eastAsia="仿宋_GB2312" w:cs="仿宋_GB2312"/>
          <w:color w:val="232323"/>
          <w:kern w:val="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eastAsia" w:ascii="宋体" w:hAnsi="宋体"/>
          <w:i/>
          <w:iCs/>
          <w:color w:val="FF000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2020年度预算</w:t>
      </w:r>
      <w:r>
        <w:rPr>
          <w:rFonts w:hint="eastAsia" w:asciiTheme="minorEastAsia" w:hAnsiTheme="minorEastAsia" w:eastAsiaTheme="minorEastAsia"/>
          <w:sz w:val="32"/>
          <w:szCs w:val="32"/>
          <w:lang w:val="en-US" w:eastAsia="zh-CN"/>
        </w:rPr>
        <w:t>整体</w:t>
      </w:r>
      <w:r>
        <w:rPr>
          <w:rFonts w:hint="eastAsia" w:asciiTheme="minorEastAsia" w:hAnsiTheme="minorEastAsia" w:eastAsiaTheme="minorEastAsia"/>
          <w:sz w:val="32"/>
          <w:szCs w:val="32"/>
        </w:rPr>
        <w:t>绩效</w:t>
      </w:r>
      <w:r>
        <w:rPr>
          <w:rFonts w:hint="eastAsia" w:asciiTheme="minorEastAsia" w:hAnsiTheme="minorEastAsia" w:eastAsiaTheme="minorEastAsia"/>
          <w:sz w:val="32"/>
          <w:szCs w:val="32"/>
          <w:lang w:val="en-US" w:eastAsia="zh-CN"/>
        </w:rPr>
        <w:t>由州应急局一级单位统一进行自评</w:t>
      </w:r>
      <w:r>
        <w:rPr>
          <w:rFonts w:hint="eastAsia" w:asciiTheme="minorEastAsia" w:hAnsiTheme="minorEastAsia" w:eastAsiaTheme="minorEastAsia"/>
          <w:sz w:val="32"/>
          <w:szCs w:val="32"/>
          <w:lang w:eastAsia="zh-CN"/>
        </w:rPr>
        <w:t>。</w:t>
      </w:r>
    </w:p>
    <w:p>
      <w:pPr>
        <w:ind w:firstLine="640" w:firstLineChars="200"/>
        <w:jc w:val="left"/>
        <w:rPr>
          <w:rFonts w:cs="黑体" w:asciiTheme="minorEastAsia" w:hAnsiTheme="minorEastAsia"/>
          <w:color w:val="000000"/>
          <w:kern w:val="0"/>
          <w:sz w:val="32"/>
          <w:szCs w:val="32"/>
        </w:rPr>
      </w:pPr>
      <w:bookmarkStart w:id="3" w:name="_GoBack"/>
      <w:bookmarkEnd w:id="3"/>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宋体 (正文)">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CC80C"/>
    <w:multiLevelType w:val="singleLevel"/>
    <w:tmpl w:val="894CC80C"/>
    <w:lvl w:ilvl="0" w:tentative="0">
      <w:start w:val="1"/>
      <w:numFmt w:val="decimal"/>
      <w:suff w:val="nothing"/>
      <w:lvlText w:val="%1、"/>
      <w:lvlJc w:val="left"/>
      <w:pPr>
        <w:ind w:left="40"/>
      </w:pPr>
    </w:lvl>
  </w:abstractNum>
  <w:abstractNum w:abstractNumId="1">
    <w:nsid w:val="039D754C"/>
    <w:multiLevelType w:val="singleLevel"/>
    <w:tmpl w:val="039D754C"/>
    <w:lvl w:ilvl="0" w:tentative="0">
      <w:start w:val="5"/>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3D33D26"/>
    <w:rsid w:val="057E16B9"/>
    <w:rsid w:val="08D4046D"/>
    <w:rsid w:val="0E225947"/>
    <w:rsid w:val="0F160189"/>
    <w:rsid w:val="0FCF080F"/>
    <w:rsid w:val="18AD79E0"/>
    <w:rsid w:val="19680967"/>
    <w:rsid w:val="1B9C2EFA"/>
    <w:rsid w:val="1CBD323D"/>
    <w:rsid w:val="24670873"/>
    <w:rsid w:val="24DC445F"/>
    <w:rsid w:val="2A4963C2"/>
    <w:rsid w:val="2B054B1E"/>
    <w:rsid w:val="2F7A0132"/>
    <w:rsid w:val="335069E3"/>
    <w:rsid w:val="358B6B78"/>
    <w:rsid w:val="3714012E"/>
    <w:rsid w:val="38130EAA"/>
    <w:rsid w:val="3FB1380A"/>
    <w:rsid w:val="43340846"/>
    <w:rsid w:val="44160F8E"/>
    <w:rsid w:val="4484014F"/>
    <w:rsid w:val="49D62F64"/>
    <w:rsid w:val="4EEB5A0E"/>
    <w:rsid w:val="50155F99"/>
    <w:rsid w:val="50F11007"/>
    <w:rsid w:val="536A77B4"/>
    <w:rsid w:val="54723614"/>
    <w:rsid w:val="573811C9"/>
    <w:rsid w:val="57AE1001"/>
    <w:rsid w:val="58494F71"/>
    <w:rsid w:val="590E2CBF"/>
    <w:rsid w:val="597E7FEA"/>
    <w:rsid w:val="5B607F70"/>
    <w:rsid w:val="5C4208CA"/>
    <w:rsid w:val="63B1089F"/>
    <w:rsid w:val="64D929D0"/>
    <w:rsid w:val="67BD2363"/>
    <w:rsid w:val="68B40E4E"/>
    <w:rsid w:val="6F14725D"/>
    <w:rsid w:val="6F2D47DB"/>
    <w:rsid w:val="7297598D"/>
    <w:rsid w:val="73803395"/>
    <w:rsid w:val="7AF144E5"/>
    <w:rsid w:val="7B191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0</TotalTime>
  <ScaleCrop>false</ScaleCrop>
  <LinksUpToDate>false</LinksUpToDate>
  <CharactersWithSpaces>8753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王兆平</cp:lastModifiedBy>
  <cp:lastPrinted>2021-09-14T02:19:00Z</cp:lastPrinted>
  <dcterms:modified xsi:type="dcterms:W3CDTF">2021-09-17T03:28:45Z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1796DDAB86734A48AF0AC4A8F425FA37</vt:lpwstr>
  </property>
</Properties>
</file>